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9" w:rsidRDefault="00CA7DB9" w:rsidP="00CA7DB9">
      <w:pPr>
        <w:spacing w:after="0"/>
        <w:rPr>
          <w:b/>
        </w:rPr>
      </w:pPr>
    </w:p>
    <w:p w:rsidR="00CA7DB9" w:rsidRDefault="00CA7DB9" w:rsidP="00CA7DB9">
      <w:pPr>
        <w:spacing w:after="0"/>
        <w:rPr>
          <w:b/>
        </w:rPr>
      </w:pPr>
      <w:r>
        <w:rPr>
          <w:b/>
        </w:rPr>
        <w:t>Oxford City Council Gender Pay Gap Report (as at 31 March 2018 and 31 March 2017)</w:t>
      </w:r>
    </w:p>
    <w:p w:rsidR="00CA7DB9" w:rsidRDefault="00CA7DB9" w:rsidP="00CA7DB9">
      <w:pPr>
        <w:spacing w:after="0"/>
        <w:rPr>
          <w:b/>
        </w:rPr>
      </w:pPr>
    </w:p>
    <w:p w:rsidR="00CA7DB9" w:rsidRDefault="00CA7DB9" w:rsidP="00CA7DB9">
      <w:pPr>
        <w:spacing w:after="0"/>
        <w:rPr>
          <w:color w:val="auto"/>
        </w:rPr>
      </w:pPr>
      <w:r>
        <w:rPr>
          <w:b/>
        </w:rPr>
        <w:t xml:space="preserve">Note: </w:t>
      </w:r>
      <w:r>
        <w:t>f</w:t>
      </w:r>
      <w:r w:rsidRPr="00520557">
        <w:t>igures</w:t>
      </w:r>
      <w:r>
        <w:t xml:space="preserve"> </w:t>
      </w:r>
      <w:r w:rsidRPr="00520557">
        <w:t>in</w:t>
      </w:r>
      <w:r>
        <w:t xml:space="preserve"> the tables below in</w:t>
      </w:r>
      <w:r w:rsidRPr="00520557">
        <w:t xml:space="preserve"> </w:t>
      </w:r>
      <w:r w:rsidRPr="00520557">
        <w:rPr>
          <w:color w:val="FF0000"/>
        </w:rPr>
        <w:t>red</w:t>
      </w:r>
      <w:r w:rsidRPr="00520557">
        <w:rPr>
          <w:color w:val="auto"/>
        </w:rPr>
        <w:t xml:space="preserve"> are where </w:t>
      </w:r>
      <w:r>
        <w:rPr>
          <w:color w:val="auto"/>
        </w:rPr>
        <w:t>the reporting indices are in favour of female staff</w:t>
      </w:r>
    </w:p>
    <w:p w:rsidR="00CA7DB9" w:rsidRDefault="00CA7DB9" w:rsidP="00CA7DB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567"/>
        <w:gridCol w:w="1276"/>
        <w:gridCol w:w="1276"/>
        <w:gridCol w:w="2315"/>
        <w:gridCol w:w="1938"/>
        <w:gridCol w:w="1695"/>
      </w:tblGrid>
      <w:tr w:rsidR="00CA7DB9" w:rsidTr="00EC0974">
        <w:tc>
          <w:tcPr>
            <w:tcW w:w="5529" w:type="dxa"/>
            <w:gridSpan w:val="4"/>
          </w:tcPr>
          <w:p w:rsidR="00CA7DB9" w:rsidRPr="006751FC" w:rsidRDefault="00CA7DB9" w:rsidP="00EC09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 March 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Pr="006751FC" w:rsidRDefault="00CA7DB9" w:rsidP="00EC09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948" w:type="dxa"/>
            <w:gridSpan w:val="3"/>
          </w:tcPr>
          <w:p w:rsidR="00CA7DB9" w:rsidRPr="006751FC" w:rsidRDefault="00CA7DB9" w:rsidP="00EC09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 March 2017</w:t>
            </w:r>
          </w:p>
        </w:tc>
      </w:tr>
      <w:tr w:rsidR="00CA7DB9" w:rsidTr="00EC0974">
        <w:tc>
          <w:tcPr>
            <w:tcW w:w="4253" w:type="dxa"/>
            <w:gridSpan w:val="3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Mean gender pay gap (basic pay)</w:t>
            </w:r>
          </w:p>
        </w:tc>
        <w:tc>
          <w:tcPr>
            <w:tcW w:w="1276" w:type="dxa"/>
            <w:tcBorders>
              <w:left w:val="nil"/>
            </w:tcBorders>
          </w:tcPr>
          <w:p w:rsidR="00CA7DB9" w:rsidRPr="00572E7E" w:rsidRDefault="00CA7DB9" w:rsidP="00EC097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- 0.7%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4253" w:type="dxa"/>
            <w:gridSpan w:val="2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Mean gender pay gap (basic pay)</w:t>
            </w:r>
          </w:p>
        </w:tc>
        <w:tc>
          <w:tcPr>
            <w:tcW w:w="1695" w:type="dxa"/>
            <w:tcBorders>
              <w:left w:val="nil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0.1%</w:t>
            </w:r>
          </w:p>
        </w:tc>
      </w:tr>
      <w:tr w:rsidR="00CA7DB9" w:rsidTr="00EC0974">
        <w:tc>
          <w:tcPr>
            <w:tcW w:w="4253" w:type="dxa"/>
            <w:gridSpan w:val="3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Median gender pay gap (basic pay)</w:t>
            </w:r>
          </w:p>
        </w:tc>
        <w:tc>
          <w:tcPr>
            <w:tcW w:w="1276" w:type="dxa"/>
            <w:tcBorders>
              <w:left w:val="nil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4253" w:type="dxa"/>
            <w:gridSpan w:val="2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Median gender pay gap (basic pay)</w:t>
            </w:r>
          </w:p>
        </w:tc>
        <w:tc>
          <w:tcPr>
            <w:tcW w:w="1695" w:type="dxa"/>
            <w:tcBorders>
              <w:left w:val="nil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0%</w:t>
            </w:r>
          </w:p>
        </w:tc>
      </w:tr>
      <w:tr w:rsidR="00CA7DB9" w:rsidTr="00EC0974">
        <w:tc>
          <w:tcPr>
            <w:tcW w:w="4253" w:type="dxa"/>
            <w:gridSpan w:val="3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Mean gender bonus gap</w:t>
            </w:r>
          </w:p>
        </w:tc>
        <w:tc>
          <w:tcPr>
            <w:tcW w:w="1276" w:type="dxa"/>
            <w:tcBorders>
              <w:left w:val="nil"/>
            </w:tcBorders>
          </w:tcPr>
          <w:p w:rsidR="00CA7DB9" w:rsidRPr="00572E7E" w:rsidRDefault="00CA7DB9" w:rsidP="00EC097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-6.3%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4253" w:type="dxa"/>
            <w:gridSpan w:val="2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Mean gender bonus gap</w:t>
            </w:r>
          </w:p>
        </w:tc>
        <w:tc>
          <w:tcPr>
            <w:tcW w:w="1695" w:type="dxa"/>
            <w:tcBorders>
              <w:left w:val="nil"/>
            </w:tcBorders>
          </w:tcPr>
          <w:p w:rsidR="00CA7DB9" w:rsidRPr="00572E7E" w:rsidRDefault="00CA7DB9" w:rsidP="00EC097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-6.3</w:t>
            </w:r>
          </w:p>
        </w:tc>
      </w:tr>
      <w:tr w:rsidR="00CA7DB9" w:rsidTr="00EC0974">
        <w:tc>
          <w:tcPr>
            <w:tcW w:w="4253" w:type="dxa"/>
            <w:gridSpan w:val="3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Median gender bonus gap</w:t>
            </w:r>
          </w:p>
        </w:tc>
        <w:tc>
          <w:tcPr>
            <w:tcW w:w="1276" w:type="dxa"/>
            <w:tcBorders>
              <w:left w:val="nil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4253" w:type="dxa"/>
            <w:gridSpan w:val="2"/>
            <w:tcBorders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Median gender bonus gap</w:t>
            </w:r>
          </w:p>
        </w:tc>
        <w:tc>
          <w:tcPr>
            <w:tcW w:w="1695" w:type="dxa"/>
            <w:tcBorders>
              <w:left w:val="nil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19.5%</w:t>
            </w:r>
          </w:p>
        </w:tc>
      </w:tr>
      <w:tr w:rsidR="00CA7DB9" w:rsidTr="00EC0974">
        <w:tc>
          <w:tcPr>
            <w:tcW w:w="4253" w:type="dxa"/>
            <w:gridSpan w:val="3"/>
            <w:tcBorders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Proportion males receiving a bonus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84.6%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Proportion males receiving a bonus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45.5%</w:t>
            </w:r>
          </w:p>
        </w:tc>
      </w:tr>
      <w:tr w:rsidR="00CA7DB9" w:rsidTr="00EC0974">
        <w:tc>
          <w:tcPr>
            <w:tcW w:w="4253" w:type="dxa"/>
            <w:gridSpan w:val="3"/>
            <w:tcBorders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Proportion females receiving a bonus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82.7%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  <w:r>
              <w:t>Proportion females receiving a bonus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CA7DB9" w:rsidRDefault="00CA7DB9" w:rsidP="00EC0974">
            <w:pPr>
              <w:spacing w:after="0"/>
              <w:jc w:val="center"/>
            </w:pPr>
            <w:r>
              <w:t>42.3%</w:t>
            </w:r>
          </w:p>
        </w:tc>
      </w:tr>
      <w:tr w:rsidR="00CA7DB9" w:rsidTr="00EC0974"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</w:pPr>
          </w:p>
        </w:tc>
      </w:tr>
      <w:tr w:rsidR="00CA7DB9" w:rsidTr="00EC097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rPr>
                <w:b/>
              </w:rPr>
            </w:pPr>
            <w:r>
              <w:rPr>
                <w:b/>
              </w:rPr>
              <w:t>Quartile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Males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Females 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Default="00CA7DB9" w:rsidP="00EC0974">
            <w:pPr>
              <w:spacing w:after="0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rPr>
                <w:b/>
              </w:rPr>
            </w:pPr>
            <w:r>
              <w:rPr>
                <w:b/>
              </w:rPr>
              <w:t>Quartile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Males %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Females %</w:t>
            </w:r>
          </w:p>
        </w:tc>
      </w:tr>
      <w:tr w:rsidR="00CA7DB9" w:rsidTr="00EC097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>Top Quartile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73.8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26.2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>Top Quartile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67.6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32.4</w:t>
            </w:r>
          </w:p>
        </w:tc>
      </w:tr>
      <w:tr w:rsidR="00CA7DB9" w:rsidTr="00EC097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 xml:space="preserve">Upper Middle Quartile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58.2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41.8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 xml:space="preserve">Upper Middle Quartile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63.2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36.8</w:t>
            </w:r>
          </w:p>
        </w:tc>
      </w:tr>
      <w:tr w:rsidR="00CA7DB9" w:rsidTr="00EC097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>Lower Middle Quartile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61.9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38.1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>Lower Middle Quartile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59.6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40.4</w:t>
            </w:r>
          </w:p>
        </w:tc>
      </w:tr>
      <w:tr w:rsidR="00CA7DB9" w:rsidTr="00EC097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>Lower Quartile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66.6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33.4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</w:pPr>
            <w:r w:rsidRPr="00572E7E">
              <w:t>Lower Quartile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71.3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7DB9" w:rsidRPr="00572E7E" w:rsidRDefault="00CA7DB9" w:rsidP="00EC0974">
            <w:pPr>
              <w:spacing w:after="0"/>
              <w:jc w:val="center"/>
            </w:pPr>
            <w:r>
              <w:t>28.7</w:t>
            </w:r>
          </w:p>
        </w:tc>
      </w:tr>
      <w:tr w:rsidR="00CA7DB9" w:rsidTr="00EC097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DB9" w:rsidRDefault="00CA7DB9" w:rsidP="00EC0974">
            <w:pPr>
              <w:spacing w:after="0"/>
              <w:jc w:val="center"/>
            </w:pPr>
          </w:p>
        </w:tc>
      </w:tr>
      <w:tr w:rsidR="00CA7DB9" w:rsidTr="00EC0974"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CA7DB9" w:rsidRPr="00475803" w:rsidRDefault="00CA7DB9" w:rsidP="00EC0974">
            <w:pPr>
              <w:spacing w:after="0"/>
            </w:pPr>
            <w:r>
              <w:t xml:space="preserve">The financial year 2017/18 was </w:t>
            </w:r>
            <w:r>
              <w:rPr>
                <w:b/>
              </w:rPr>
              <w:t>not</w:t>
            </w:r>
            <w:r>
              <w:t xml:space="preserve"> an increment year, so a higher proportion of staff </w:t>
            </w:r>
            <w:proofErr w:type="gramStart"/>
            <w:r>
              <w:t>were</w:t>
            </w:r>
            <w:proofErr w:type="gramEnd"/>
            <w:r>
              <w:t xml:space="preserve"> eligible for a Partnership Payment.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7DB9" w:rsidRPr="00572E7E" w:rsidRDefault="00CA7DB9" w:rsidP="00EC0974">
            <w:pPr>
              <w:spacing w:after="0"/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</w:tcBorders>
          </w:tcPr>
          <w:p w:rsidR="00CA7DB9" w:rsidRDefault="00CA7DB9" w:rsidP="00EC0974">
            <w:pPr>
              <w:spacing w:after="0"/>
            </w:pPr>
            <w:r>
              <w:t>The financial year 2016/17 was an increment year, so the number of staff eligible for a Partnership Payment was reduced.</w:t>
            </w:r>
          </w:p>
        </w:tc>
      </w:tr>
    </w:tbl>
    <w:p w:rsidR="00CA7DB9" w:rsidRDefault="00CA7DB9" w:rsidP="00CA7DB9">
      <w:pPr>
        <w:spacing w:after="0"/>
      </w:pPr>
    </w:p>
    <w:p w:rsidR="00CA7DB9" w:rsidRDefault="00CA7DB9" w:rsidP="00CA7DB9">
      <w:pPr>
        <w:spacing w:after="0"/>
      </w:pPr>
    </w:p>
    <w:p w:rsidR="00CA7DB9" w:rsidRDefault="00CA7DB9" w:rsidP="00CA7DB9">
      <w:pPr>
        <w:spacing w:after="0"/>
      </w:pPr>
    </w:p>
    <w:p w:rsidR="008A22C6" w:rsidRPr="008A22C6" w:rsidRDefault="008A22C6" w:rsidP="008A22C6"/>
    <w:sectPr w:rsidR="008A22C6" w:rsidRPr="008A22C6" w:rsidSect="00CA7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B9" w:rsidRDefault="00CA7DB9" w:rsidP="00CA7DB9">
      <w:pPr>
        <w:spacing w:after="0"/>
      </w:pPr>
      <w:r>
        <w:separator/>
      </w:r>
    </w:p>
  </w:endnote>
  <w:endnote w:type="continuationSeparator" w:id="0">
    <w:p w:rsidR="00CA7DB9" w:rsidRDefault="00CA7DB9" w:rsidP="00CA7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9" w:rsidRDefault="00CA7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9" w:rsidRDefault="00CA7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9" w:rsidRDefault="00CA7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B9" w:rsidRDefault="00CA7DB9" w:rsidP="00CA7DB9">
      <w:pPr>
        <w:spacing w:after="0"/>
      </w:pPr>
      <w:r>
        <w:separator/>
      </w:r>
    </w:p>
  </w:footnote>
  <w:footnote w:type="continuationSeparator" w:id="0">
    <w:p w:rsidR="00CA7DB9" w:rsidRDefault="00CA7DB9" w:rsidP="00CA7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9" w:rsidRDefault="00CA7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9" w:rsidRPr="00CA7DB9" w:rsidRDefault="00CA7DB9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CA7DB9">
      <w:rPr>
        <w:sz w:val="48"/>
        <w:szCs w:val="48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B9" w:rsidRDefault="00CA7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B9"/>
    <w:rsid w:val="000B4310"/>
    <w:rsid w:val="004000D7"/>
    <w:rsid w:val="00504E43"/>
    <w:rsid w:val="007908F4"/>
    <w:rsid w:val="008A22C6"/>
    <w:rsid w:val="00C07F80"/>
    <w:rsid w:val="00CA7DB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9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B9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D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DB9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D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DB9"/>
    <w:rPr>
      <w:rFonts w:eastAsia="Times New Roman" w:cs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9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B9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D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DB9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D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DB9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094F-41C8-4AC1-8586-8CAD0B6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5EF77E46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1</cp:revision>
  <dcterms:created xsi:type="dcterms:W3CDTF">2020-02-14T11:07:00Z</dcterms:created>
  <dcterms:modified xsi:type="dcterms:W3CDTF">2020-02-14T11:08:00Z</dcterms:modified>
</cp:coreProperties>
</file>